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4BEF2" w14:textId="77777777" w:rsidR="00C44DF7" w:rsidRPr="00A9380B" w:rsidRDefault="00C44DF7" w:rsidP="00C44DF7">
      <w:pPr>
        <w:spacing w:line="240" w:lineRule="auto"/>
        <w:jc w:val="right"/>
        <w:rPr>
          <w:rFonts w:ascii="Corbel" w:hAnsi="Corbel"/>
          <w:bCs/>
          <w:i/>
        </w:rPr>
      </w:pPr>
      <w:r w:rsidRPr="00A9380B">
        <w:rPr>
          <w:rFonts w:ascii="Corbel" w:hAnsi="Corbel"/>
          <w:bCs/>
          <w:i/>
        </w:rPr>
        <w:t xml:space="preserve">Załącznik nr 1.5 do Zarządzenia Rektora </w:t>
      </w:r>
      <w:proofErr w:type="gramStart"/>
      <w:r w:rsidRPr="00A9380B">
        <w:rPr>
          <w:rFonts w:ascii="Corbel" w:hAnsi="Corbel"/>
          <w:bCs/>
          <w:i/>
        </w:rPr>
        <w:t>UR  nr</w:t>
      </w:r>
      <w:proofErr w:type="gramEnd"/>
      <w:r w:rsidRPr="00A9380B">
        <w:rPr>
          <w:rFonts w:ascii="Corbel" w:hAnsi="Corbel"/>
          <w:bCs/>
          <w:i/>
        </w:rPr>
        <w:t xml:space="preserve"> 12/2019</w:t>
      </w:r>
    </w:p>
    <w:p w14:paraId="745E36B5" w14:textId="77777777" w:rsidR="0085747A" w:rsidRPr="00A9380B" w:rsidRDefault="0085747A" w:rsidP="009C54AE">
      <w:pPr>
        <w:spacing w:after="0" w:line="240" w:lineRule="auto"/>
        <w:jc w:val="center"/>
        <w:rPr>
          <w:rFonts w:ascii="Corbel" w:hAnsi="Corbel"/>
          <w:b/>
          <w:smallCaps/>
          <w:sz w:val="24"/>
          <w:szCs w:val="24"/>
        </w:rPr>
      </w:pPr>
      <w:r w:rsidRPr="00A9380B">
        <w:rPr>
          <w:rFonts w:ascii="Corbel" w:hAnsi="Corbel"/>
          <w:b/>
          <w:smallCaps/>
          <w:sz w:val="24"/>
          <w:szCs w:val="24"/>
        </w:rPr>
        <w:t>SYLABUS</w:t>
      </w:r>
    </w:p>
    <w:p w14:paraId="5D65B410" w14:textId="77777777"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4F7D1B" w:rsidRPr="00A9380B">
        <w:rPr>
          <w:rFonts w:ascii="Corbel" w:hAnsi="Corbel"/>
          <w:smallCaps/>
          <w:sz w:val="24"/>
          <w:szCs w:val="24"/>
        </w:rPr>
        <w:t>2020-2022</w:t>
      </w:r>
    </w:p>
    <w:p w14:paraId="21B9C2D3" w14:textId="77777777"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DE1388" w:rsidRPr="00A9380B">
        <w:rPr>
          <w:rFonts w:ascii="Corbel" w:hAnsi="Corbel"/>
          <w:sz w:val="20"/>
          <w:szCs w:val="20"/>
        </w:rPr>
        <w:t>1</w:t>
      </w:r>
      <w:r w:rsidR="00845976" w:rsidRPr="00A9380B">
        <w:rPr>
          <w:rFonts w:ascii="Corbel" w:hAnsi="Corbel"/>
          <w:sz w:val="20"/>
          <w:szCs w:val="20"/>
        </w:rPr>
        <w:t>/202</w:t>
      </w:r>
      <w:r w:rsidR="00DE1388" w:rsidRPr="00A9380B">
        <w:rPr>
          <w:rFonts w:ascii="Corbel" w:hAnsi="Corbel"/>
          <w:sz w:val="20"/>
          <w:szCs w:val="20"/>
        </w:rPr>
        <w:t>2</w:t>
      </w:r>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A9380B"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A9380B" w:rsidRDefault="00293ED6" w:rsidP="00DF461B">
            <w:pPr>
              <w:pStyle w:val="Odpowiedzi"/>
              <w:rPr>
                <w:rFonts w:ascii="Corbel" w:hAnsi="Corbel"/>
                <w:b w:val="0"/>
                <w:sz w:val="24"/>
                <w:szCs w:val="24"/>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77777777" w:rsidR="004E4652" w:rsidRPr="00A9380B" w:rsidRDefault="00547CC8" w:rsidP="00DF461B">
            <w:pPr>
              <w:pStyle w:val="Odpowiedzi"/>
              <w:rPr>
                <w:rFonts w:ascii="Corbel" w:hAnsi="Corbel"/>
                <w:b w:val="0"/>
                <w:i/>
                <w:color w:val="auto"/>
                <w:sz w:val="24"/>
                <w:szCs w:val="24"/>
              </w:rPr>
            </w:pPr>
            <w:r w:rsidRPr="00A9380B">
              <w:rPr>
                <w:rFonts w:ascii="Corbel" w:hAnsi="Corbel"/>
                <w:b w:val="0"/>
                <w:color w:val="auto"/>
                <w:sz w:val="24"/>
                <w:szCs w:val="24"/>
              </w:rPr>
              <w:t>Stacjonarne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15</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þ</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 xml:space="preserve">lub z wykorzystaniem platformy Ms </w:t>
      </w:r>
      <w:proofErr w:type="spellStart"/>
      <w:r w:rsidR="003570FD" w:rsidRPr="00A9380B">
        <w:rPr>
          <w:rFonts w:ascii="Corbel" w:hAnsi="Corbel"/>
          <w:b w:val="0"/>
          <w:smallCaps w:val="0"/>
          <w:color w:val="000000" w:themeColor="text1"/>
          <w:szCs w:val="24"/>
        </w:rPr>
        <w:t>Teams</w:t>
      </w:r>
      <w:proofErr w:type="spellEnd"/>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 xml:space="preserve">uczenia </w:t>
      </w:r>
      <w:proofErr w:type="gramStart"/>
      <w:r w:rsidR="009A18A7" w:rsidRPr="00A9380B">
        <w:rPr>
          <w:rFonts w:ascii="Corbel" w:hAnsi="Corbel"/>
          <w:szCs w:val="24"/>
        </w:rPr>
        <w:t>się</w:t>
      </w:r>
      <w:r w:rsidR="0085747A" w:rsidRPr="00A9380B">
        <w:rPr>
          <w:rFonts w:ascii="Corbel" w:hAnsi="Corbel"/>
          <w:szCs w:val="24"/>
        </w:rPr>
        <w:t xml:space="preserve"> ,</w:t>
      </w:r>
      <w:proofErr w:type="gramEnd"/>
      <w:r w:rsidR="0085747A" w:rsidRPr="00A9380B">
        <w:rPr>
          <w:rFonts w:ascii="Corbel" w:hAnsi="Corbel"/>
          <w:szCs w:val="24"/>
        </w:rPr>
        <w:t xml:space="preserve">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744FA237">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Odniesienie do </w:t>
            </w:r>
            <w:proofErr w:type="gramStart"/>
            <w:r w:rsidRPr="00A9380B">
              <w:rPr>
                <w:rFonts w:ascii="Corbel" w:hAnsi="Corbel"/>
                <w:b w:val="0"/>
                <w:smallCaps w:val="0"/>
                <w:szCs w:val="24"/>
              </w:rPr>
              <w:t>efektów  kierunkowych</w:t>
            </w:r>
            <w:proofErr w:type="gramEnd"/>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744FA237">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0B33490F" w14:textId="77777777" w:rsidR="0059647B"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K_W01,</w:t>
            </w:r>
          </w:p>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744FA237">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4F265B34" w14:textId="14F36A4F" w:rsidR="001F562C" w:rsidRPr="0059647B" w:rsidRDefault="000A6629" w:rsidP="00711832">
            <w:pPr>
              <w:pStyle w:val="Punktygwne"/>
              <w:spacing w:before="0" w:after="0"/>
              <w:jc w:val="center"/>
              <w:rPr>
                <w:rFonts w:ascii="Corbel" w:hAnsi="Corbel"/>
                <w:b w:val="0"/>
                <w:smallCaps w:val="0"/>
              </w:rPr>
            </w:pPr>
            <w:r w:rsidRPr="744FA237">
              <w:rPr>
                <w:rFonts w:ascii="Corbel" w:hAnsi="Corbel"/>
                <w:b w:val="0"/>
                <w:smallCaps w:val="0"/>
              </w:rPr>
              <w:t>K_W06,</w:t>
            </w:r>
          </w:p>
        </w:tc>
      </w:tr>
      <w:tr w:rsidR="001F562C" w:rsidRPr="00A9380B" w14:paraId="22523F08" w14:textId="77777777" w:rsidTr="744FA237">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56DCA061" w14:textId="77777777" w:rsidR="00711832" w:rsidRDefault="53EC6218" w:rsidP="00711832">
            <w:pPr>
              <w:pStyle w:val="Punktygwne"/>
              <w:spacing w:before="0" w:after="0"/>
              <w:jc w:val="center"/>
              <w:rPr>
                <w:rFonts w:ascii="Corbel" w:hAnsi="Corbel"/>
                <w:b w:val="0"/>
                <w:smallCaps w:val="0"/>
              </w:rPr>
            </w:pPr>
            <w:r w:rsidRPr="744FA237">
              <w:rPr>
                <w:rFonts w:ascii="Corbel" w:hAnsi="Corbel"/>
                <w:b w:val="0"/>
                <w:smallCaps w:val="0"/>
              </w:rPr>
              <w:t xml:space="preserve">K_U01 </w:t>
            </w:r>
          </w:p>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744FA237">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744FA237">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28BB41B0" w14:textId="0E09F608"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K_U06</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w:t>
      </w:r>
      <w:proofErr w:type="gramStart"/>
      <w:r w:rsidR="001F562C" w:rsidRPr="00A9380B">
        <w:rPr>
          <w:rFonts w:ascii="Corbel" w:hAnsi="Corbel"/>
          <w:sz w:val="24"/>
          <w:szCs w:val="24"/>
        </w:rPr>
        <w:t>projektów..</w:t>
      </w:r>
      <w:proofErr w:type="gramEnd"/>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0844F3" w14:paraId="38A11687" w14:textId="77777777" w:rsidTr="413F0738">
        <w:tc>
          <w:tcPr>
            <w:tcW w:w="9670" w:type="dxa"/>
          </w:tcPr>
          <w:p w14:paraId="0A38AE9A" w14:textId="118CFAB7" w:rsidR="0085747A" w:rsidRPr="000844F3" w:rsidRDefault="35E59AA5" w:rsidP="00E35CC6">
            <w:pPr>
              <w:spacing w:line="240" w:lineRule="auto"/>
              <w:rPr>
                <w:rFonts w:ascii="Corbel" w:eastAsia="Corbel" w:hAnsi="Corbel" w:cs="Corbel"/>
                <w:color w:val="000000" w:themeColor="text1"/>
                <w:sz w:val="24"/>
                <w:szCs w:val="24"/>
              </w:rPr>
            </w:pPr>
            <w:r w:rsidRPr="000844F3">
              <w:rPr>
                <w:rFonts w:ascii="Corbel" w:eastAsia="Corbel" w:hAnsi="Corbel" w:cs="Corbel"/>
                <w:sz w:val="24"/>
                <w:szCs w:val="24"/>
              </w:rPr>
              <w:t xml:space="preserve">Ćwiczenia - </w:t>
            </w:r>
            <w:r w:rsidRPr="000844F3">
              <w:rPr>
                <w:rFonts w:ascii="Corbel" w:eastAsia="Times New Roman" w:hAnsi="Corbel"/>
                <w:sz w:val="24"/>
                <w:szCs w:val="24"/>
              </w:rPr>
              <w:t xml:space="preserve">ocena z zaliczenia </w:t>
            </w:r>
            <w:r w:rsidRPr="000844F3">
              <w:rPr>
                <w:rFonts w:ascii="Corbel" w:eastAsia="Corbel" w:hAnsi="Corbel" w:cs="Corbel"/>
                <w:sz w:val="24"/>
                <w:szCs w:val="24"/>
              </w:rPr>
              <w:t xml:space="preserve">  </w:t>
            </w:r>
          </w:p>
          <w:p w14:paraId="4747D35E" w14:textId="6BFC5067" w:rsidR="0085747A" w:rsidRPr="000844F3" w:rsidRDefault="35E59AA5" w:rsidP="00E35CC6">
            <w:pPr>
              <w:spacing w:line="240" w:lineRule="auto"/>
              <w:jc w:val="both"/>
              <w:rPr>
                <w:rFonts w:ascii="Corbel" w:hAnsi="Corbel"/>
                <w:sz w:val="24"/>
                <w:szCs w:val="24"/>
              </w:rPr>
            </w:pPr>
            <w:r w:rsidRPr="000844F3">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0844F3">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0844F3">
              <w:rPr>
                <w:rFonts w:ascii="Corbel" w:eastAsia="Corbel" w:hAnsi="Corbel" w:cs="Corbel"/>
                <w:sz w:val="24"/>
                <w:szCs w:val="24"/>
              </w:rPr>
              <w:t xml:space="preserve"> </w:t>
            </w:r>
          </w:p>
          <w:p w14:paraId="24DF9418" w14:textId="59F4F18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do 50% - niedostateczny,  </w:t>
            </w:r>
          </w:p>
          <w:p w14:paraId="206B9B6C" w14:textId="1F200279"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lastRenderedPageBreak/>
              <w:t xml:space="preserve">51% - 60% - dostateczny,  </w:t>
            </w:r>
          </w:p>
          <w:p w14:paraId="0149FCEE" w14:textId="287EB607"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61% - 70% - dostateczny plus,  </w:t>
            </w:r>
          </w:p>
          <w:p w14:paraId="34DEEFEF" w14:textId="56B7E7A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71% - 80% - dobry,  </w:t>
            </w:r>
          </w:p>
          <w:p w14:paraId="71600E8A" w14:textId="44D91F7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81% </w:t>
            </w:r>
            <w:r w:rsidRPr="000844F3">
              <w:rPr>
                <w:rFonts w:ascii="Corbel" w:hAnsi="Corbel"/>
                <w:sz w:val="24"/>
                <w:szCs w:val="24"/>
              </w:rPr>
              <w:t xml:space="preserve">- 90% - dobry plus, </w:t>
            </w:r>
            <w:r w:rsidRPr="000844F3">
              <w:rPr>
                <w:rFonts w:ascii="Corbel" w:eastAsia="Corbel" w:hAnsi="Corbel" w:cs="Corbel"/>
                <w:sz w:val="24"/>
                <w:szCs w:val="24"/>
              </w:rPr>
              <w:t xml:space="preserve"> </w:t>
            </w:r>
          </w:p>
          <w:p w14:paraId="211B8A9B" w14:textId="5C51CD4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91% </w:t>
            </w:r>
            <w:r w:rsidRPr="000844F3">
              <w:rPr>
                <w:rFonts w:ascii="Corbel" w:hAnsi="Corbel"/>
                <w:sz w:val="24"/>
                <w:szCs w:val="24"/>
              </w:rPr>
              <w:t>- 100% - bardzo dobry</w:t>
            </w:r>
            <w:r w:rsidRPr="000844F3">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77777777" w:rsidR="000368C2" w:rsidRPr="00A9380B" w:rsidRDefault="000368C2" w:rsidP="004D4350">
            <w:pPr>
              <w:pStyle w:val="Akapitzlist"/>
              <w:spacing w:after="0" w:line="240" w:lineRule="auto"/>
              <w:ind w:left="0"/>
              <w:rPr>
                <w:rFonts w:ascii="Corbel" w:hAnsi="Corbel"/>
                <w:sz w:val="24"/>
                <w:szCs w:val="24"/>
              </w:rPr>
            </w:pPr>
            <w:r w:rsidRPr="00A9380B">
              <w:rPr>
                <w:rFonts w:ascii="Corbel" w:hAnsi="Corbel"/>
                <w:sz w:val="24"/>
                <w:szCs w:val="24"/>
              </w:rPr>
              <w:t xml:space="preserve">Godziny kontaktowe wynikające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77777777" w:rsidR="000368C2"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15</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proofErr w:type="gram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w:t>
            </w:r>
            <w:proofErr w:type="gramEnd"/>
            <w:r w:rsidR="00E36CBC" w:rsidRPr="00A9380B">
              <w:rPr>
                <w:rFonts w:ascii="Corbel" w:hAnsi="Corbel"/>
                <w:sz w:val="24"/>
                <w:szCs w:val="24"/>
              </w:rPr>
              <w:t xml:space="preserv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F9A28E9"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F27523" w:rsidRPr="00A9380B">
              <w:rPr>
                <w:rFonts w:ascii="Corbel" w:hAnsi="Corbel"/>
                <w:sz w:val="24"/>
                <w:szCs w:val="24"/>
              </w:rPr>
              <w:t>32</w:t>
            </w:r>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5451"/>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w:t>
            </w:r>
            <w:proofErr w:type="gramStart"/>
            <w:r w:rsidRPr="00A9380B">
              <w:rPr>
                <w:rFonts w:ascii="Corbel" w:hAnsi="Corbel"/>
                <w:b w:val="0"/>
                <w:smallCaps w:val="0"/>
                <w:szCs w:val="24"/>
              </w:rPr>
              <w:t>ekonomiczna :</w:t>
            </w:r>
            <w:proofErr w:type="gramEnd"/>
            <w:r w:rsidRPr="00A9380B">
              <w:rPr>
                <w:rFonts w:ascii="Corbel" w:hAnsi="Corbel"/>
                <w:b w:val="0"/>
                <w:smallCaps w:val="0"/>
                <w:szCs w:val="24"/>
              </w:rPr>
              <w:t xml:space="preserve">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t>
            </w:r>
            <w:proofErr w:type="gramStart"/>
            <w:r w:rsidRPr="00A9380B">
              <w:rPr>
                <w:rFonts w:ascii="Corbel" w:hAnsi="Corbel"/>
                <w:b w:val="0"/>
                <w:smallCaps w:val="0"/>
                <w:szCs w:val="24"/>
              </w:rPr>
              <w:t>Warszawa :</w:t>
            </w:r>
            <w:proofErr w:type="gramEnd"/>
            <w:r w:rsidRPr="00A9380B">
              <w:rPr>
                <w:rFonts w:ascii="Corbel" w:hAnsi="Corbel"/>
                <w:b w:val="0"/>
                <w:smallCaps w:val="0"/>
                <w:szCs w:val="24"/>
              </w:rPr>
              <w:t xml:space="preserve">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w:t>
            </w:r>
            <w:proofErr w:type="gramStart"/>
            <w:r w:rsidRPr="00A9380B">
              <w:rPr>
                <w:rFonts w:ascii="Corbel" w:hAnsi="Corbel"/>
                <w:b w:val="0"/>
                <w:smallCaps w:val="0"/>
                <w:szCs w:val="24"/>
              </w:rPr>
              <w:t>biznes :</w:t>
            </w:r>
            <w:proofErr w:type="gramEnd"/>
            <w:r w:rsidRPr="00A9380B">
              <w:rPr>
                <w:rFonts w:ascii="Corbel" w:hAnsi="Corbel"/>
                <w:b w:val="0"/>
                <w:smallCaps w:val="0"/>
                <w:szCs w:val="24"/>
              </w:rPr>
              <w:t xml:space="preserve">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w:t>
            </w:r>
            <w:proofErr w:type="gramStart"/>
            <w:r w:rsidRPr="00A9380B">
              <w:rPr>
                <w:rFonts w:ascii="Corbel" w:hAnsi="Corbel"/>
                <w:b w:val="0"/>
                <w:smallCaps w:val="0"/>
                <w:szCs w:val="24"/>
              </w:rPr>
              <w:t>Excel :praca</w:t>
            </w:r>
            <w:proofErr w:type="gramEnd"/>
            <w:r w:rsidRPr="00A9380B">
              <w:rPr>
                <w:rFonts w:ascii="Corbel" w:hAnsi="Corbel"/>
                <w:b w:val="0"/>
                <w:smallCaps w:val="0"/>
                <w:szCs w:val="24"/>
              </w:rPr>
              <w:t xml:space="preserve">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w:t>
            </w:r>
            <w:proofErr w:type="gramStart"/>
            <w:r w:rsidRPr="00A9380B">
              <w:rPr>
                <w:rFonts w:ascii="Corbel" w:hAnsi="Corbel"/>
                <w:b w:val="0"/>
                <w:smallCaps w:val="0"/>
                <w:szCs w:val="24"/>
              </w:rPr>
              <w:t>Gliwice :</w:t>
            </w:r>
            <w:proofErr w:type="gramEnd"/>
            <w:r w:rsidRPr="00A9380B">
              <w:rPr>
                <w:rFonts w:ascii="Corbel" w:hAnsi="Corbel"/>
                <w:b w:val="0"/>
                <w:smallCaps w:val="0"/>
                <w:szCs w:val="24"/>
              </w:rPr>
              <w:t xml:space="preserve">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456CCE" w14:textId="77777777" w:rsidR="00244520" w:rsidRDefault="00244520" w:rsidP="00C16ABF">
      <w:pPr>
        <w:spacing w:after="0" w:line="240" w:lineRule="auto"/>
      </w:pPr>
      <w:r>
        <w:separator/>
      </w:r>
    </w:p>
  </w:endnote>
  <w:endnote w:type="continuationSeparator" w:id="0">
    <w:p w14:paraId="3E712FB6" w14:textId="77777777" w:rsidR="00244520" w:rsidRDefault="00244520"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A857D5" w14:textId="77777777" w:rsidR="00244520" w:rsidRDefault="00244520" w:rsidP="00C16ABF">
      <w:pPr>
        <w:spacing w:after="0" w:line="240" w:lineRule="auto"/>
      </w:pPr>
      <w:r>
        <w:separator/>
      </w:r>
    </w:p>
  </w:footnote>
  <w:footnote w:type="continuationSeparator" w:id="0">
    <w:p w14:paraId="179188F9" w14:textId="77777777" w:rsidR="00244520" w:rsidRDefault="00244520"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4F3"/>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F1C57"/>
    <w:rsid w:val="000F5615"/>
    <w:rsid w:val="00110142"/>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520"/>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7230"/>
    <w:rsid w:val="00621CE1"/>
    <w:rsid w:val="00637783"/>
    <w:rsid w:val="00647FA8"/>
    <w:rsid w:val="006612A7"/>
    <w:rsid w:val="006620D9"/>
    <w:rsid w:val="00665E6B"/>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5CC6"/>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526AF"/>
    <w:rsid w:val="00F617C3"/>
    <w:rsid w:val="00F672AF"/>
    <w:rsid w:val="00F7066B"/>
    <w:rsid w:val="00F746AF"/>
    <w:rsid w:val="00F7752B"/>
    <w:rsid w:val="00F83B28"/>
    <w:rsid w:val="00F904C7"/>
    <w:rsid w:val="00FB20B2"/>
    <w:rsid w:val="00FB432A"/>
    <w:rsid w:val="00FB7DBA"/>
    <w:rsid w:val="00FC1C25"/>
    <w:rsid w:val="00FC3F45"/>
    <w:rsid w:val="00FD503F"/>
    <w:rsid w:val="00FD7589"/>
    <w:rsid w:val="00FF016A"/>
    <w:rsid w:val="00FF1401"/>
    <w:rsid w:val="00FF5E7D"/>
    <w:rsid w:val="00FF7FCE"/>
    <w:rsid w:val="18F633D1"/>
    <w:rsid w:val="292C98F3"/>
    <w:rsid w:val="35E59AA5"/>
    <w:rsid w:val="413F0738"/>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22C834-43E8-430C-BE24-2B6F57832038}">
  <ds:schemaRefs>
    <ds:schemaRef ds:uri="http://schemas.openxmlformats.org/officeDocument/2006/bibliography"/>
  </ds:schemaRefs>
</ds:datastoreItem>
</file>

<file path=customXml/itemProps2.xml><?xml version="1.0" encoding="utf-8"?>
<ds:datastoreItem xmlns:ds="http://schemas.openxmlformats.org/officeDocument/2006/customXml" ds:itemID="{01E14BCE-CC67-4DB3-8912-08F4A3E65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4.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4</Pages>
  <Words>1051</Words>
  <Characters>6310</Characters>
  <Application>Microsoft Office Word</Application>
  <DocSecurity>0</DocSecurity>
  <Lines>52</Lines>
  <Paragraphs>14</Paragraphs>
  <ScaleCrop>false</ScaleCrop>
  <Company>Hewlett-Packard Company</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Cyran Kazimierz</cp:lastModifiedBy>
  <cp:revision>8</cp:revision>
  <cp:lastPrinted>2020-11-20T14:21:00Z</cp:lastPrinted>
  <dcterms:created xsi:type="dcterms:W3CDTF">2020-11-25T17:44:00Z</dcterms:created>
  <dcterms:modified xsi:type="dcterms:W3CDTF">2020-12-13T10:59:00Z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